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73A25" w14:textId="77777777" w:rsidR="00C8221E" w:rsidRDefault="00C8221E" w:rsidP="00C8221E">
      <w:pPr>
        <w:rPr>
          <w:rFonts w:asciiTheme="minorHAnsi" w:hAnsiTheme="minorHAnsi"/>
          <w:b/>
          <w:bCs/>
          <w:lang w:val="en-AU"/>
        </w:rPr>
      </w:pPr>
    </w:p>
    <w:p w14:paraId="7025B97F" w14:textId="5844BA2D" w:rsidR="00C8221E" w:rsidRPr="00C8221E" w:rsidRDefault="00C8221E" w:rsidP="00C8221E">
      <w:pPr>
        <w:rPr>
          <w:rFonts w:asciiTheme="minorHAnsi" w:hAnsiTheme="minorHAnsi"/>
          <w:b/>
          <w:bCs/>
          <w:lang w:val="en-AU"/>
        </w:rPr>
      </w:pPr>
      <w:r w:rsidRPr="00C8221E">
        <w:rPr>
          <w:rFonts w:asciiTheme="minorHAnsi" w:hAnsiTheme="minorHAnsi"/>
          <w:b/>
          <w:bCs/>
          <w:lang w:val="en-AU"/>
        </w:rPr>
        <w:t>Engagement – in the classroom, the school community, and society</w:t>
      </w:r>
    </w:p>
    <w:p w14:paraId="724A4128" w14:textId="77777777" w:rsidR="00C8221E" w:rsidRPr="00C8221E" w:rsidRDefault="00C8221E" w:rsidP="00C8221E">
      <w:pPr>
        <w:rPr>
          <w:rFonts w:asciiTheme="minorHAnsi" w:hAnsiTheme="minorHAnsi"/>
          <w:lang w:val="en-AU"/>
        </w:rPr>
      </w:pPr>
    </w:p>
    <w:p w14:paraId="505DC96C" w14:textId="55BEEDE4" w:rsidR="00C8221E" w:rsidRPr="00C8221E" w:rsidRDefault="00C8221E" w:rsidP="00C8221E">
      <w:pPr>
        <w:rPr>
          <w:rFonts w:asciiTheme="minorHAnsi" w:hAnsiTheme="minorHAnsi"/>
          <w:lang w:val="en-AU"/>
        </w:rPr>
      </w:pPr>
      <w:r w:rsidRPr="00C8221E">
        <w:rPr>
          <w:rFonts w:asciiTheme="minorHAnsi" w:hAnsiTheme="minorHAnsi"/>
          <w:lang w:val="en-AU"/>
        </w:rPr>
        <w:t>We observe long-term shortcomings in the work of the student council and low student engagement in school life, as well as an insufficient interest in public affairs. Our goal is to increase students’ interest and sensitivity toward what is happening in classes, at school, and in society. We aim to achieve greater student activity and engagement in lessons by integrating activating teaching methods used by teachers. In extracurricular activities, we expect improvements that will benefit the school community, climate, and cooperation among students, teachers, school leadership, and parents. We want our students to become active agents of positive change, to believe that they, too, can contribute</w:t>
      </w:r>
      <w:r>
        <w:rPr>
          <w:rFonts w:asciiTheme="minorHAnsi" w:hAnsiTheme="minorHAnsi"/>
          <w:lang w:val="en-AU"/>
        </w:rPr>
        <w:t xml:space="preserve">; </w:t>
      </w:r>
      <w:r w:rsidRPr="00C8221E">
        <w:rPr>
          <w:rFonts w:asciiTheme="minorHAnsi" w:hAnsiTheme="minorHAnsi"/>
          <w:lang w:val="en-AU"/>
        </w:rPr>
        <w:t>by submitting proposals, organizing more school and volunteer activities, engaging in peer learning, and fostering more intensive partnership-based communication between the student council and school leadership. Finally, we want our graduates to become socially engaged citizens with intrinsic motivation and interest in changing things within their sphere of influence.</w:t>
      </w:r>
    </w:p>
    <w:p w14:paraId="3905144B" w14:textId="77777777" w:rsidR="00C8221E" w:rsidRPr="00C8221E" w:rsidRDefault="00C8221E" w:rsidP="00C8221E">
      <w:pPr>
        <w:rPr>
          <w:rFonts w:asciiTheme="minorHAnsi" w:hAnsiTheme="minorHAnsi"/>
          <w:lang w:val="en-AU"/>
        </w:rPr>
      </w:pPr>
    </w:p>
    <w:p w14:paraId="7631F5B7" w14:textId="77777777" w:rsidR="00C8221E" w:rsidRPr="00C8221E" w:rsidRDefault="00C8221E" w:rsidP="00C8221E">
      <w:pPr>
        <w:rPr>
          <w:rFonts w:asciiTheme="minorHAnsi" w:hAnsiTheme="minorHAnsi"/>
          <w:lang w:val="en-AU"/>
        </w:rPr>
      </w:pPr>
      <w:r w:rsidRPr="00C8221E">
        <w:rPr>
          <w:rFonts w:asciiTheme="minorHAnsi" w:hAnsiTheme="minorHAnsi"/>
          <w:lang w:val="en-AU"/>
        </w:rPr>
        <w:t>We expect the first results within the first two years of accreditation, when we will observe the gradual application of activating teaching methods and greater student engagement in lessons. We also expect an increased number of joint school and community projects and activities initiated by the student council and students. By the end of the grant period, teachers of all subjects will be using activating methods, and extracurricular activities initiated by students and the school will become an integral part of school life.</w:t>
      </w:r>
    </w:p>
    <w:p w14:paraId="75AC5ACC" w14:textId="77777777" w:rsidR="00C8221E" w:rsidRPr="00C8221E" w:rsidRDefault="00C8221E" w:rsidP="00C8221E">
      <w:pPr>
        <w:rPr>
          <w:rFonts w:asciiTheme="minorHAnsi" w:hAnsiTheme="minorHAnsi"/>
          <w:lang w:val="en-AU"/>
        </w:rPr>
      </w:pPr>
    </w:p>
    <w:p w14:paraId="72DCDC8B" w14:textId="77777777" w:rsidR="00C8221E" w:rsidRPr="00C8221E" w:rsidRDefault="00C8221E" w:rsidP="00C8221E">
      <w:pPr>
        <w:pStyle w:val="Odsekzoznamu"/>
        <w:numPr>
          <w:ilvl w:val="0"/>
          <w:numId w:val="1"/>
        </w:numPr>
        <w:rPr>
          <w:rFonts w:asciiTheme="minorHAnsi" w:hAnsiTheme="minorHAnsi"/>
          <w:lang w:val="en-AU"/>
        </w:rPr>
      </w:pPr>
      <w:r w:rsidRPr="00C8221E">
        <w:rPr>
          <w:rFonts w:asciiTheme="minorHAnsi" w:hAnsiTheme="minorHAnsi"/>
          <w:lang w:val="en-AU"/>
        </w:rPr>
        <w:t>The student council will become an active partner of the school leadership and teachers, with a clear operational model, monthly meetings, proposals for improving school life, and participation in their implementation. Its representatives will regularly inform teachers and leadership about meetings and activities.</w:t>
      </w:r>
    </w:p>
    <w:p w14:paraId="1E05B90F" w14:textId="77777777" w:rsidR="00C8221E" w:rsidRPr="00C8221E" w:rsidRDefault="00C8221E" w:rsidP="00C8221E">
      <w:pPr>
        <w:rPr>
          <w:rFonts w:asciiTheme="minorHAnsi" w:hAnsiTheme="minorHAnsi"/>
          <w:lang w:val="en-AU"/>
        </w:rPr>
      </w:pPr>
    </w:p>
    <w:p w14:paraId="5C9931F7" w14:textId="77777777" w:rsidR="00C8221E" w:rsidRPr="00C8221E" w:rsidRDefault="00C8221E" w:rsidP="00C8221E">
      <w:pPr>
        <w:pStyle w:val="Odsekzoznamu"/>
        <w:numPr>
          <w:ilvl w:val="0"/>
          <w:numId w:val="1"/>
        </w:numPr>
        <w:rPr>
          <w:rFonts w:asciiTheme="minorHAnsi" w:hAnsiTheme="minorHAnsi"/>
          <w:lang w:val="en-AU"/>
        </w:rPr>
      </w:pPr>
      <w:r w:rsidRPr="00C8221E">
        <w:rPr>
          <w:rFonts w:asciiTheme="minorHAnsi" w:hAnsiTheme="minorHAnsi"/>
          <w:lang w:val="en-AU"/>
        </w:rPr>
        <w:t>Teachers across all subjects will use activating teaching methods and observe increased student activity and interest.</w:t>
      </w:r>
    </w:p>
    <w:p w14:paraId="7C1EAF70" w14:textId="77777777" w:rsidR="00C8221E" w:rsidRPr="00C8221E" w:rsidRDefault="00C8221E" w:rsidP="00C8221E">
      <w:pPr>
        <w:rPr>
          <w:rFonts w:asciiTheme="minorHAnsi" w:hAnsiTheme="minorHAnsi"/>
          <w:lang w:val="en-AU"/>
        </w:rPr>
      </w:pPr>
    </w:p>
    <w:p w14:paraId="403D4C4E" w14:textId="77777777" w:rsidR="00C8221E" w:rsidRPr="00C8221E" w:rsidRDefault="00C8221E" w:rsidP="00C8221E">
      <w:pPr>
        <w:pStyle w:val="Odsekzoznamu"/>
        <w:numPr>
          <w:ilvl w:val="0"/>
          <w:numId w:val="1"/>
        </w:numPr>
        <w:rPr>
          <w:rFonts w:asciiTheme="minorHAnsi" w:hAnsiTheme="minorHAnsi"/>
          <w:lang w:val="en-AU"/>
        </w:rPr>
      </w:pPr>
      <w:r w:rsidRPr="00C8221E">
        <w:rPr>
          <w:rFonts w:asciiTheme="minorHAnsi" w:hAnsiTheme="minorHAnsi"/>
          <w:lang w:val="en-AU"/>
        </w:rPr>
        <w:t>The number of school activities and projects involving students, teachers, and possibly parents will increase.</w:t>
      </w:r>
    </w:p>
    <w:p w14:paraId="0AA5267A" w14:textId="77777777" w:rsidR="00C8221E" w:rsidRPr="00C8221E" w:rsidRDefault="00C8221E" w:rsidP="00C8221E">
      <w:pPr>
        <w:rPr>
          <w:rFonts w:asciiTheme="minorHAnsi" w:hAnsiTheme="minorHAnsi"/>
          <w:lang w:val="en-AU"/>
        </w:rPr>
      </w:pPr>
    </w:p>
    <w:p w14:paraId="7CC1DD80" w14:textId="4B48DAB6" w:rsidR="00C8221E" w:rsidRPr="00C8221E" w:rsidRDefault="00C8221E" w:rsidP="00C8221E">
      <w:pPr>
        <w:pStyle w:val="Odsekzoznamu"/>
        <w:numPr>
          <w:ilvl w:val="0"/>
          <w:numId w:val="1"/>
        </w:numPr>
        <w:rPr>
          <w:rFonts w:asciiTheme="minorHAnsi" w:hAnsiTheme="minorHAnsi"/>
          <w:lang w:val="en-AU"/>
        </w:rPr>
      </w:pPr>
      <w:r w:rsidRPr="00C8221E">
        <w:rPr>
          <w:rFonts w:asciiTheme="minorHAnsi" w:hAnsiTheme="minorHAnsi"/>
          <w:lang w:val="en-AU"/>
        </w:rPr>
        <w:t>The number of volunteer activities aimed at the public and marginalized/disadvantaged communities in the school’s surroundings will grow.</w:t>
      </w:r>
    </w:p>
    <w:p w14:paraId="44FB5B3F" w14:textId="77777777" w:rsidR="00C8221E" w:rsidRDefault="00C8221E">
      <w:pPr>
        <w:rPr>
          <w:rFonts w:asciiTheme="minorHAnsi" w:hAnsiTheme="minorHAnsi"/>
          <w:lang w:val="en-AU"/>
        </w:rPr>
      </w:pPr>
      <w:r>
        <w:rPr>
          <w:rFonts w:asciiTheme="minorHAnsi" w:hAnsiTheme="minorHAnsi"/>
          <w:lang w:val="en-AU"/>
        </w:rPr>
        <w:br w:type="page"/>
      </w:r>
    </w:p>
    <w:p w14:paraId="04A03747" w14:textId="77777777" w:rsidR="00C8221E" w:rsidRDefault="00C8221E" w:rsidP="00C8221E">
      <w:pPr>
        <w:rPr>
          <w:rFonts w:asciiTheme="minorHAnsi" w:hAnsiTheme="minorHAnsi"/>
          <w:b/>
          <w:bCs/>
          <w:lang w:val="en-AU"/>
        </w:rPr>
      </w:pPr>
    </w:p>
    <w:p w14:paraId="3182635E" w14:textId="2D6E8990" w:rsidR="00C8221E" w:rsidRPr="00C8221E" w:rsidRDefault="00C8221E" w:rsidP="00C8221E">
      <w:pPr>
        <w:rPr>
          <w:rFonts w:asciiTheme="minorHAnsi" w:hAnsiTheme="minorHAnsi"/>
          <w:b/>
          <w:bCs/>
          <w:lang w:val="en-AU"/>
        </w:rPr>
      </w:pPr>
      <w:r w:rsidRPr="00C8221E">
        <w:rPr>
          <w:rFonts w:asciiTheme="minorHAnsi" w:hAnsiTheme="minorHAnsi"/>
          <w:b/>
          <w:bCs/>
          <w:lang w:val="en-AU"/>
        </w:rPr>
        <w:t>Assessment – introducing new perspectives into the established evaluation system to bring it closer to modern needs of students and teachers</w:t>
      </w:r>
    </w:p>
    <w:p w14:paraId="722AD1C8" w14:textId="77777777" w:rsidR="00C8221E" w:rsidRPr="00C8221E" w:rsidRDefault="00C8221E" w:rsidP="00C8221E">
      <w:pPr>
        <w:rPr>
          <w:rFonts w:asciiTheme="minorHAnsi" w:hAnsiTheme="minorHAnsi"/>
          <w:lang w:val="en-AU"/>
        </w:rPr>
      </w:pPr>
    </w:p>
    <w:p w14:paraId="05F8A38A" w14:textId="0A3265AE" w:rsidR="00C8221E" w:rsidRPr="00C8221E" w:rsidRDefault="00C8221E" w:rsidP="00C8221E">
      <w:pPr>
        <w:rPr>
          <w:rFonts w:asciiTheme="minorHAnsi" w:hAnsiTheme="minorHAnsi"/>
          <w:lang w:val="en-AU"/>
        </w:rPr>
      </w:pPr>
      <w:r w:rsidRPr="00C8221E">
        <w:rPr>
          <w:rFonts w:asciiTheme="minorHAnsi" w:hAnsiTheme="minorHAnsi"/>
          <w:lang w:val="en-AU"/>
        </w:rPr>
        <w:t>The rigidity of the evaluation system, still largely based on summative assessment, is among the most frequently mentioned concerns of both teachers and students when reflecting on the current state of education at our school. Participation in mobility and the direct experience of participants will help us develop a comprehensive understanding of alternative assessment methods and serve as a foundation for adapting traditional approaches in evaluation methodology. Our goal is for assessment to promote skill development, strengthen students’ self-esteem, support critical thinking, improve their relationship to school, teachers, and education in general, and motivate them toward active participation in the collective and peer learning. Mobility will offer teachers and students an irreplaceable opportunity to confront the limitations of local practice with alternative forms of assessment</w:t>
      </w:r>
      <w:r>
        <w:rPr>
          <w:rFonts w:asciiTheme="minorHAnsi" w:hAnsiTheme="minorHAnsi"/>
          <w:lang w:val="en-AU"/>
        </w:rPr>
        <w:t xml:space="preserve">; </w:t>
      </w:r>
      <w:r w:rsidRPr="00C8221E">
        <w:rPr>
          <w:rFonts w:asciiTheme="minorHAnsi" w:hAnsiTheme="minorHAnsi"/>
          <w:lang w:val="en-AU"/>
        </w:rPr>
        <w:t>how they work in practice, how effective they are, and how they could be implemented in our context.</w:t>
      </w:r>
    </w:p>
    <w:p w14:paraId="2EA69D1B" w14:textId="77777777" w:rsidR="00C8221E" w:rsidRPr="00C8221E" w:rsidRDefault="00C8221E" w:rsidP="00C8221E">
      <w:pPr>
        <w:rPr>
          <w:rFonts w:asciiTheme="minorHAnsi" w:hAnsiTheme="minorHAnsi"/>
          <w:lang w:val="en-AU"/>
        </w:rPr>
      </w:pPr>
    </w:p>
    <w:p w14:paraId="36325CCD" w14:textId="142F12B4" w:rsidR="00C8221E" w:rsidRPr="00C8221E" w:rsidRDefault="00C8221E" w:rsidP="00C8221E">
      <w:pPr>
        <w:rPr>
          <w:rFonts w:asciiTheme="minorHAnsi" w:hAnsiTheme="minorHAnsi"/>
          <w:lang w:val="en-AU"/>
        </w:rPr>
      </w:pPr>
      <w:r w:rsidRPr="00C8221E">
        <w:rPr>
          <w:rFonts w:asciiTheme="minorHAnsi" w:hAnsiTheme="minorHAnsi"/>
          <w:lang w:val="en-AU"/>
        </w:rPr>
        <w:t>Given the broad and systemic nature of assessment, we expect more significant impact in the long term; however, we are convinced that noticeable progress can be achieved by the end of the accreditation period. Partial measurable changes should be visible after the first successful mobilities of both students and teachers</w:t>
      </w:r>
      <w:r>
        <w:rPr>
          <w:rFonts w:asciiTheme="minorHAnsi" w:hAnsiTheme="minorHAnsi"/>
          <w:lang w:val="en-AU"/>
        </w:rPr>
        <w:t xml:space="preserve"> </w:t>
      </w:r>
      <w:r w:rsidRPr="00C8221E">
        <w:rPr>
          <w:rFonts w:asciiTheme="minorHAnsi" w:hAnsiTheme="minorHAnsi"/>
          <w:lang w:val="en-AU"/>
        </w:rPr>
        <w:t>in the very first year of accreditation. The effectiveness of the initial mobilities will be crucial for setting the framework for subsequent steps.</w:t>
      </w:r>
    </w:p>
    <w:p w14:paraId="451EE2D0" w14:textId="77777777" w:rsidR="00C8221E" w:rsidRPr="00C8221E" w:rsidRDefault="00C8221E" w:rsidP="00C8221E">
      <w:pPr>
        <w:rPr>
          <w:rFonts w:asciiTheme="minorHAnsi" w:hAnsiTheme="minorHAnsi"/>
          <w:lang w:val="en-AU"/>
        </w:rPr>
      </w:pPr>
    </w:p>
    <w:p w14:paraId="785F5D96" w14:textId="718C3DDE" w:rsidR="00C8221E" w:rsidRPr="00C8221E" w:rsidRDefault="00C8221E" w:rsidP="00C8221E">
      <w:pPr>
        <w:pStyle w:val="Odsekzoznamu"/>
        <w:numPr>
          <w:ilvl w:val="0"/>
          <w:numId w:val="2"/>
        </w:numPr>
        <w:rPr>
          <w:rFonts w:asciiTheme="minorHAnsi" w:hAnsiTheme="minorHAnsi"/>
          <w:lang w:val="en-AU"/>
        </w:rPr>
      </w:pPr>
      <w:r w:rsidRPr="00C8221E">
        <w:rPr>
          <w:rFonts w:asciiTheme="minorHAnsi" w:hAnsiTheme="minorHAnsi"/>
          <w:lang w:val="en-AU"/>
        </w:rPr>
        <w:t>Through questionnaires, we will measure student satisfaction with assessment at the beginning, during, and at the end of the project.</w:t>
      </w:r>
    </w:p>
    <w:p w14:paraId="7D963A66" w14:textId="77777777" w:rsidR="00C8221E" w:rsidRPr="00C8221E" w:rsidRDefault="00C8221E" w:rsidP="00C8221E">
      <w:pPr>
        <w:rPr>
          <w:rFonts w:asciiTheme="minorHAnsi" w:hAnsiTheme="minorHAnsi"/>
          <w:lang w:val="en-AU"/>
        </w:rPr>
      </w:pPr>
    </w:p>
    <w:p w14:paraId="074B6573" w14:textId="2C2E70C6" w:rsidR="00C8221E" w:rsidRPr="00C8221E" w:rsidRDefault="00C8221E" w:rsidP="00C8221E">
      <w:pPr>
        <w:pStyle w:val="Odsekzoznamu"/>
        <w:numPr>
          <w:ilvl w:val="0"/>
          <w:numId w:val="2"/>
        </w:numPr>
        <w:rPr>
          <w:rFonts w:asciiTheme="minorHAnsi" w:hAnsiTheme="minorHAnsi"/>
          <w:lang w:val="en-AU"/>
        </w:rPr>
      </w:pPr>
      <w:r w:rsidRPr="00C8221E">
        <w:rPr>
          <w:rFonts w:asciiTheme="minorHAnsi" w:hAnsiTheme="minorHAnsi"/>
          <w:lang w:val="en-AU"/>
        </w:rPr>
        <w:t>Since we expect the project to increase students’ self-esteem, satisfaction, and involvement in the school community, we will track their interest in participating in school, extracurricular, civic activities, projects, and programs.</w:t>
      </w:r>
    </w:p>
    <w:p w14:paraId="727FB322" w14:textId="77777777" w:rsidR="00C8221E" w:rsidRPr="00C8221E" w:rsidRDefault="00C8221E" w:rsidP="00C8221E">
      <w:pPr>
        <w:rPr>
          <w:rFonts w:asciiTheme="minorHAnsi" w:hAnsiTheme="minorHAnsi"/>
          <w:lang w:val="en-AU"/>
        </w:rPr>
      </w:pPr>
    </w:p>
    <w:p w14:paraId="28080EB2" w14:textId="188CEDD2" w:rsidR="00C8221E" w:rsidRPr="00C8221E" w:rsidRDefault="00C8221E" w:rsidP="00C8221E">
      <w:pPr>
        <w:pStyle w:val="Odsekzoznamu"/>
        <w:numPr>
          <w:ilvl w:val="0"/>
          <w:numId w:val="2"/>
        </w:numPr>
        <w:rPr>
          <w:rFonts w:asciiTheme="minorHAnsi" w:hAnsiTheme="minorHAnsi"/>
          <w:lang w:val="en-AU"/>
        </w:rPr>
      </w:pPr>
      <w:r w:rsidRPr="00C8221E">
        <w:rPr>
          <w:rFonts w:asciiTheme="minorHAnsi" w:hAnsiTheme="minorHAnsi"/>
          <w:lang w:val="en-AU"/>
        </w:rPr>
        <w:t>We believe that after exploring alternative assessment methods and implementing them, there will be a measurable shift in evaluating student performance: fewer grades, more comprehensive assessment of the learning process.</w:t>
      </w:r>
    </w:p>
    <w:p w14:paraId="58289981" w14:textId="77777777" w:rsidR="00C8221E" w:rsidRPr="00C8221E" w:rsidRDefault="00C8221E" w:rsidP="00C8221E">
      <w:pPr>
        <w:rPr>
          <w:rFonts w:asciiTheme="minorHAnsi" w:hAnsiTheme="minorHAnsi"/>
          <w:lang w:val="en-AU"/>
        </w:rPr>
      </w:pPr>
    </w:p>
    <w:p w14:paraId="2895D7B6" w14:textId="0CA930FA" w:rsidR="00C8221E" w:rsidRPr="00C8221E" w:rsidRDefault="00C8221E" w:rsidP="00C8221E">
      <w:pPr>
        <w:pStyle w:val="Odsekzoznamu"/>
        <w:numPr>
          <w:ilvl w:val="0"/>
          <w:numId w:val="2"/>
        </w:numPr>
        <w:rPr>
          <w:rFonts w:asciiTheme="minorHAnsi" w:hAnsiTheme="minorHAnsi"/>
          <w:lang w:val="en-AU"/>
        </w:rPr>
      </w:pPr>
      <w:r w:rsidRPr="00C8221E">
        <w:rPr>
          <w:rFonts w:asciiTheme="minorHAnsi" w:hAnsiTheme="minorHAnsi"/>
          <w:lang w:val="en-AU"/>
        </w:rPr>
        <w:t>As knowledge increases, we expect greater interest from teachers in mobilities and in re-evaluating assessment approaches.</w:t>
      </w:r>
    </w:p>
    <w:p w14:paraId="23AEAE2B" w14:textId="77777777" w:rsidR="00C8221E" w:rsidRDefault="00C8221E">
      <w:pPr>
        <w:rPr>
          <w:rFonts w:asciiTheme="minorHAnsi" w:hAnsiTheme="minorHAnsi"/>
          <w:lang w:val="en-AU"/>
        </w:rPr>
      </w:pPr>
      <w:r>
        <w:rPr>
          <w:rFonts w:asciiTheme="minorHAnsi" w:hAnsiTheme="minorHAnsi"/>
          <w:lang w:val="en-AU"/>
        </w:rPr>
        <w:br w:type="page"/>
      </w:r>
    </w:p>
    <w:p w14:paraId="7A5B68E5" w14:textId="77777777" w:rsidR="00C8221E" w:rsidRPr="00C8221E" w:rsidRDefault="00C8221E" w:rsidP="00C8221E">
      <w:pPr>
        <w:rPr>
          <w:rFonts w:asciiTheme="minorHAnsi" w:hAnsiTheme="minorHAnsi"/>
          <w:lang w:val="en-AU"/>
        </w:rPr>
      </w:pPr>
    </w:p>
    <w:p w14:paraId="17811F89" w14:textId="77777777" w:rsidR="00C8221E" w:rsidRPr="00C8221E" w:rsidRDefault="00C8221E" w:rsidP="00C8221E">
      <w:pPr>
        <w:rPr>
          <w:rFonts w:asciiTheme="minorHAnsi" w:hAnsiTheme="minorHAnsi"/>
          <w:lang w:val="en-AU"/>
        </w:rPr>
      </w:pPr>
    </w:p>
    <w:p w14:paraId="4FA38A02" w14:textId="77777777" w:rsidR="00C8221E" w:rsidRPr="00C8221E" w:rsidRDefault="00C8221E" w:rsidP="00C8221E">
      <w:pPr>
        <w:rPr>
          <w:rFonts w:asciiTheme="minorHAnsi" w:hAnsiTheme="minorHAnsi"/>
          <w:b/>
          <w:bCs/>
          <w:lang w:val="en-AU"/>
        </w:rPr>
      </w:pPr>
      <w:r w:rsidRPr="00C8221E">
        <w:rPr>
          <w:rFonts w:asciiTheme="minorHAnsi" w:hAnsiTheme="minorHAnsi"/>
          <w:b/>
          <w:bCs/>
          <w:lang w:val="en-AU"/>
        </w:rPr>
        <w:t>Digitalization – modernizing the school through active and meaningful use of modern technologies by teachers and students in the learning process</w:t>
      </w:r>
    </w:p>
    <w:p w14:paraId="4FF25441" w14:textId="77777777" w:rsidR="00C8221E" w:rsidRPr="00C8221E" w:rsidRDefault="00C8221E" w:rsidP="00C8221E">
      <w:pPr>
        <w:rPr>
          <w:rFonts w:asciiTheme="minorHAnsi" w:hAnsiTheme="minorHAnsi"/>
          <w:lang w:val="en-AU"/>
        </w:rPr>
      </w:pPr>
    </w:p>
    <w:p w14:paraId="26BA1AAB" w14:textId="77777777" w:rsidR="00C8221E" w:rsidRPr="00C8221E" w:rsidRDefault="00C8221E" w:rsidP="00C8221E">
      <w:pPr>
        <w:rPr>
          <w:rFonts w:asciiTheme="minorHAnsi" w:hAnsiTheme="minorHAnsi"/>
          <w:lang w:val="en-AU"/>
        </w:rPr>
      </w:pPr>
      <w:r w:rsidRPr="00C8221E">
        <w:rPr>
          <w:rFonts w:asciiTheme="minorHAnsi" w:hAnsiTheme="minorHAnsi"/>
          <w:lang w:val="en-AU"/>
        </w:rPr>
        <w:t>In the fast-paced and digitalized 21st century, a modern school is characterized by the functional use of modern technologies and digital tools by both teachers and students. Based on experiences from mobilities at foreign schools, we see the need for modernization: ensuring active use of ICT tools not only by teachers but also by students. Our school currently has interactive boards, projectors, and three classrooms equipped with computers, mostly used for informatics lessons. Therefore, one of our goals is to digitalize the school by ensuring training for teachers of various subjects in selecting and using ICT tools, enabling students to become active participants in lessons and motivating them to learn. Effective use of digital tools across subjects also requires sharing good practice and establishing fully functional Wi-Fi access for students.</w:t>
      </w:r>
    </w:p>
    <w:p w14:paraId="4C9DCE10" w14:textId="77777777" w:rsidR="00C8221E" w:rsidRPr="00C8221E" w:rsidRDefault="00C8221E" w:rsidP="00C8221E">
      <w:pPr>
        <w:rPr>
          <w:rFonts w:asciiTheme="minorHAnsi" w:hAnsiTheme="minorHAnsi"/>
          <w:lang w:val="en-AU"/>
        </w:rPr>
      </w:pPr>
    </w:p>
    <w:p w14:paraId="0FD264A7" w14:textId="77777777" w:rsidR="00C8221E" w:rsidRPr="00C8221E" w:rsidRDefault="00C8221E" w:rsidP="00C8221E">
      <w:pPr>
        <w:rPr>
          <w:rFonts w:asciiTheme="minorHAnsi" w:hAnsiTheme="minorHAnsi"/>
          <w:lang w:val="en-AU"/>
        </w:rPr>
      </w:pPr>
      <w:r w:rsidRPr="00C8221E">
        <w:rPr>
          <w:rFonts w:asciiTheme="minorHAnsi" w:hAnsiTheme="minorHAnsi"/>
          <w:lang w:val="en-AU"/>
        </w:rPr>
        <w:t>An increase in the number of teachers using digital technologies as tools for active learning will be observable as early as the year following the first teacher and student mobilities and teacher training courses. Wi-Fi access should be secured by the end of the first half of the accreditation period. Increased student activity, satisfaction, motivation, and improved digital skills will be measurable in the second half.</w:t>
      </w:r>
    </w:p>
    <w:p w14:paraId="406D75B7" w14:textId="77777777" w:rsidR="00C8221E" w:rsidRPr="00C8221E" w:rsidRDefault="00C8221E" w:rsidP="00C8221E">
      <w:pPr>
        <w:rPr>
          <w:rFonts w:asciiTheme="minorHAnsi" w:hAnsiTheme="minorHAnsi"/>
          <w:lang w:val="en-AU"/>
        </w:rPr>
      </w:pPr>
    </w:p>
    <w:p w14:paraId="4249CE23" w14:textId="01C8237A" w:rsidR="00C8221E" w:rsidRPr="00C8221E" w:rsidRDefault="00C8221E" w:rsidP="00C8221E">
      <w:pPr>
        <w:pStyle w:val="Odsekzoznamu"/>
        <w:numPr>
          <w:ilvl w:val="0"/>
          <w:numId w:val="3"/>
        </w:numPr>
        <w:rPr>
          <w:rFonts w:asciiTheme="minorHAnsi" w:hAnsiTheme="minorHAnsi"/>
          <w:lang w:val="en-AU"/>
        </w:rPr>
      </w:pPr>
      <w:r w:rsidRPr="00C8221E">
        <w:rPr>
          <w:rFonts w:asciiTheme="minorHAnsi" w:hAnsiTheme="minorHAnsi"/>
          <w:lang w:val="en-AU"/>
        </w:rPr>
        <w:t>A noticeable increase in the number of teachers and subjects using modern technologies, programs, and online tools directly in lessons as tools for students</w:t>
      </w:r>
      <w:r>
        <w:rPr>
          <w:rFonts w:asciiTheme="minorHAnsi" w:hAnsiTheme="minorHAnsi"/>
          <w:lang w:val="en-AU"/>
        </w:rPr>
        <w:t xml:space="preserve">, </w:t>
      </w:r>
      <w:r w:rsidRPr="00C8221E">
        <w:rPr>
          <w:rFonts w:asciiTheme="minorHAnsi" w:hAnsiTheme="minorHAnsi"/>
          <w:lang w:val="en-AU"/>
        </w:rPr>
        <w:t>not merely for content presentation. Currently, ICT tools are used mainly in informatics and mathematics.</w:t>
      </w:r>
    </w:p>
    <w:p w14:paraId="2475FAB2" w14:textId="77777777" w:rsidR="00C8221E" w:rsidRPr="00C8221E" w:rsidRDefault="00C8221E" w:rsidP="00C8221E">
      <w:pPr>
        <w:rPr>
          <w:rFonts w:asciiTheme="minorHAnsi" w:hAnsiTheme="minorHAnsi"/>
          <w:lang w:val="en-AU"/>
        </w:rPr>
      </w:pPr>
    </w:p>
    <w:p w14:paraId="5D1F3A4E" w14:textId="77777777" w:rsidR="00C8221E" w:rsidRPr="00C8221E" w:rsidRDefault="00C8221E" w:rsidP="00C8221E">
      <w:pPr>
        <w:pStyle w:val="Odsekzoznamu"/>
        <w:numPr>
          <w:ilvl w:val="0"/>
          <w:numId w:val="3"/>
        </w:numPr>
        <w:rPr>
          <w:rFonts w:asciiTheme="minorHAnsi" w:hAnsiTheme="minorHAnsi"/>
          <w:lang w:val="en-AU"/>
        </w:rPr>
      </w:pPr>
      <w:r w:rsidRPr="00C8221E">
        <w:rPr>
          <w:rFonts w:asciiTheme="minorHAnsi" w:hAnsiTheme="minorHAnsi"/>
          <w:lang w:val="en-AU"/>
        </w:rPr>
        <w:t>Ensuring student access to fully functional school Wi-Fi.</w:t>
      </w:r>
    </w:p>
    <w:p w14:paraId="120CB2A8" w14:textId="77777777" w:rsidR="00C8221E" w:rsidRPr="00C8221E" w:rsidRDefault="00C8221E" w:rsidP="00C8221E">
      <w:pPr>
        <w:rPr>
          <w:rFonts w:asciiTheme="minorHAnsi" w:hAnsiTheme="minorHAnsi"/>
          <w:lang w:val="en-AU"/>
        </w:rPr>
      </w:pPr>
    </w:p>
    <w:p w14:paraId="0C2E953A" w14:textId="77777777" w:rsidR="00C8221E" w:rsidRPr="00C8221E" w:rsidRDefault="00C8221E" w:rsidP="00C8221E">
      <w:pPr>
        <w:pStyle w:val="Odsekzoznamu"/>
        <w:numPr>
          <w:ilvl w:val="0"/>
          <w:numId w:val="3"/>
        </w:numPr>
        <w:rPr>
          <w:rFonts w:asciiTheme="minorHAnsi" w:hAnsiTheme="minorHAnsi"/>
          <w:lang w:val="en-AU"/>
        </w:rPr>
      </w:pPr>
      <w:r w:rsidRPr="00C8221E">
        <w:rPr>
          <w:rFonts w:asciiTheme="minorHAnsi" w:hAnsiTheme="minorHAnsi"/>
          <w:lang w:val="en-AU"/>
        </w:rPr>
        <w:t>Feedback from teachers and students demonstrating increased student activity, motivation, and changes in attitudes toward learning.</w:t>
      </w:r>
    </w:p>
    <w:p w14:paraId="721F7C67" w14:textId="77777777" w:rsidR="00C8221E" w:rsidRPr="00C8221E" w:rsidRDefault="00C8221E" w:rsidP="00C8221E">
      <w:pPr>
        <w:rPr>
          <w:rFonts w:asciiTheme="minorHAnsi" w:hAnsiTheme="minorHAnsi"/>
          <w:lang w:val="en-AU"/>
        </w:rPr>
      </w:pPr>
    </w:p>
    <w:p w14:paraId="61437580" w14:textId="3CF46D4F" w:rsidR="00550765" w:rsidRPr="00C8221E" w:rsidRDefault="00C8221E" w:rsidP="00C8221E">
      <w:pPr>
        <w:pStyle w:val="Odsekzoznamu"/>
        <w:numPr>
          <w:ilvl w:val="0"/>
          <w:numId w:val="3"/>
        </w:numPr>
        <w:rPr>
          <w:rFonts w:asciiTheme="minorHAnsi" w:hAnsiTheme="minorHAnsi"/>
          <w:lang w:val="en-AU"/>
        </w:rPr>
      </w:pPr>
      <w:r w:rsidRPr="00C8221E">
        <w:rPr>
          <w:rFonts w:asciiTheme="minorHAnsi" w:hAnsiTheme="minorHAnsi"/>
          <w:lang w:val="en-AU"/>
        </w:rPr>
        <w:t>Improved digital skills and effective use of digital technologies among both students and teachers.</w:t>
      </w:r>
    </w:p>
    <w:p w14:paraId="09C66892" w14:textId="77777777" w:rsidR="00D31C0B" w:rsidRDefault="00D31C0B" w:rsidP="009B7984">
      <w:pPr>
        <w:rPr>
          <w:rFonts w:asciiTheme="minorHAnsi" w:hAnsiTheme="minorHAnsi"/>
          <w:lang w:val="en-AU"/>
        </w:rPr>
      </w:pPr>
    </w:p>
    <w:p w14:paraId="2F2DADEE" w14:textId="77777777" w:rsidR="00C8221E" w:rsidRDefault="00C8221E" w:rsidP="009B7984">
      <w:pPr>
        <w:rPr>
          <w:rFonts w:asciiTheme="minorHAnsi" w:hAnsiTheme="minorHAnsi"/>
          <w:lang w:val="en-AU"/>
        </w:rPr>
      </w:pPr>
    </w:p>
    <w:p w14:paraId="025CAD63" w14:textId="77777777" w:rsidR="00C8221E" w:rsidRPr="00C8221E" w:rsidRDefault="00C8221E" w:rsidP="009B7984">
      <w:pPr>
        <w:rPr>
          <w:rFonts w:asciiTheme="minorHAnsi" w:hAnsiTheme="minorHAnsi"/>
          <w:i/>
          <w:iCs/>
          <w:lang w:val="en-AU"/>
        </w:rPr>
      </w:pPr>
    </w:p>
    <w:p w14:paraId="2BD9A7DD" w14:textId="61BA112E" w:rsidR="00DD3E66" w:rsidRPr="00C8221E" w:rsidRDefault="00DD3E66" w:rsidP="009B7984">
      <w:pPr>
        <w:rPr>
          <w:rFonts w:asciiTheme="minorHAnsi" w:hAnsiTheme="minorHAnsi"/>
          <w:i/>
          <w:iCs/>
          <w:lang w:val="en-AU"/>
        </w:rPr>
      </w:pPr>
      <w:bookmarkStart w:id="0" w:name="_Hlk214812311"/>
      <w:r w:rsidRPr="00C8221E">
        <w:rPr>
          <w:rFonts w:asciiTheme="minorHAnsi" w:hAnsiTheme="minorHAnsi"/>
          <w:i/>
          <w:iCs/>
          <w:lang w:val="en-AU"/>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bookmarkEnd w:id="0"/>
    </w:p>
    <w:sectPr w:rsidR="00DD3E66" w:rsidRPr="00C822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56F2" w14:textId="77777777" w:rsidR="00346830" w:rsidRDefault="00346830" w:rsidP="00D264FF">
      <w:r>
        <w:separator/>
      </w:r>
    </w:p>
  </w:endnote>
  <w:endnote w:type="continuationSeparator" w:id="0">
    <w:p w14:paraId="3B60F743" w14:textId="77777777" w:rsidR="00346830" w:rsidRDefault="00346830" w:rsidP="00D2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7DC4" w14:textId="77777777" w:rsidR="00DD3E66" w:rsidRDefault="00DD3E6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4E50" w14:textId="51B0B81D" w:rsidR="00A12A86" w:rsidRDefault="00DD3E66" w:rsidP="00F7176D">
    <w:pPr>
      <w:pStyle w:val="Pta"/>
      <w:tabs>
        <w:tab w:val="clear" w:pos="4536"/>
        <w:tab w:val="clear" w:pos="9072"/>
        <w:tab w:val="left" w:pos="7680"/>
        <w:tab w:val="left" w:pos="7960"/>
      </w:tabs>
    </w:pPr>
    <w:r>
      <w:rPr>
        <w:noProof/>
      </w:rPr>
      <w:drawing>
        <wp:anchor distT="0" distB="0" distL="114300" distR="114300" simplePos="0" relativeHeight="251660288" behindDoc="1" locked="0" layoutInCell="1" allowOverlap="1" wp14:anchorId="599438E7" wp14:editId="2111AC42">
          <wp:simplePos x="0" y="0"/>
          <wp:positionH relativeFrom="margin">
            <wp:align>right</wp:align>
          </wp:positionH>
          <wp:positionV relativeFrom="bottomMargin">
            <wp:align>top</wp:align>
          </wp:positionV>
          <wp:extent cx="1886400" cy="396000"/>
          <wp:effectExtent l="0" t="0" r="0" b="4445"/>
          <wp:wrapTight wrapText="bothSides">
            <wp:wrapPolygon edited="0">
              <wp:start x="0" y="0"/>
              <wp:lineTo x="0" y="20803"/>
              <wp:lineTo x="21382" y="20803"/>
              <wp:lineTo x="21382" y="0"/>
              <wp:lineTo x="0" y="0"/>
            </wp:wrapPolygon>
          </wp:wrapTight>
          <wp:docPr id="453215070" name="Obrázok 1" descr="Obrázok, na ktorom je text, písmo, biely, grafi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15070" name="Obrázok 1" descr="Obrázok, na ktorom je text, písmo, biely, grafika&#10;&#10;Obsah vygenerovaný pomocou AI môže byť nesprávny."/>
                  <pic:cNvPicPr/>
                </pic:nvPicPr>
                <pic:blipFill>
                  <a:blip r:embed="rId1">
                    <a:extLst>
                      <a:ext uri="{28A0092B-C50C-407E-A947-70E740481C1C}">
                        <a14:useLocalDpi xmlns:a14="http://schemas.microsoft.com/office/drawing/2010/main" val="0"/>
                      </a:ext>
                    </a:extLst>
                  </a:blip>
                  <a:stretch>
                    <a:fillRect/>
                  </a:stretch>
                </pic:blipFill>
                <pic:spPr>
                  <a:xfrm>
                    <a:off x="0" y="0"/>
                    <a:ext cx="1886400" cy="396000"/>
                  </a:xfrm>
                  <a:prstGeom prst="rect">
                    <a:avLst/>
                  </a:prstGeom>
                </pic:spPr>
              </pic:pic>
            </a:graphicData>
          </a:graphic>
          <wp14:sizeRelH relativeFrom="margin">
            <wp14:pctWidth>0</wp14:pctWidth>
          </wp14:sizeRelH>
          <wp14:sizeRelV relativeFrom="margin">
            <wp14:pctHeight>0</wp14:pctHeight>
          </wp14:sizeRelV>
        </wp:anchor>
      </w:drawing>
    </w:r>
    <w:r w:rsidR="00F7176D">
      <w:tab/>
    </w:r>
    <w:r w:rsidR="00F7176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D477" w14:textId="77777777" w:rsidR="00DD3E66" w:rsidRDefault="00DD3E6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EDC8" w14:textId="77777777" w:rsidR="00346830" w:rsidRDefault="00346830" w:rsidP="00D264FF">
      <w:r>
        <w:separator/>
      </w:r>
    </w:p>
  </w:footnote>
  <w:footnote w:type="continuationSeparator" w:id="0">
    <w:p w14:paraId="772B1CD1" w14:textId="77777777" w:rsidR="00346830" w:rsidRDefault="00346830" w:rsidP="00D26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9F9F" w14:textId="77777777" w:rsidR="00DD3E66" w:rsidRDefault="00DD3E6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7B01" w14:textId="77777777" w:rsidR="00FE2E11" w:rsidRDefault="00366F19" w:rsidP="00020A9B">
    <w:pPr>
      <w:tabs>
        <w:tab w:val="right" w:pos="9072"/>
      </w:tabs>
      <w:rPr>
        <w:rFonts w:asciiTheme="minorHAnsi" w:hAnsiTheme="minorHAnsi" w:cs="Arial"/>
        <w:sz w:val="32"/>
        <w:szCs w:val="32"/>
      </w:rPr>
    </w:pPr>
    <w:r w:rsidRPr="00632668">
      <w:rPr>
        <w:rFonts w:asciiTheme="minorHAnsi" w:hAnsiTheme="minorHAnsi"/>
        <w:noProof/>
        <w:sz w:val="28"/>
        <w:szCs w:val="28"/>
      </w:rPr>
      <w:drawing>
        <wp:anchor distT="0" distB="0" distL="114300" distR="114300" simplePos="0" relativeHeight="251659264" behindDoc="0" locked="0" layoutInCell="1" allowOverlap="1" wp14:anchorId="517B4E22" wp14:editId="74303F2A">
          <wp:simplePos x="0" y="0"/>
          <wp:positionH relativeFrom="column">
            <wp:posOffset>73660</wp:posOffset>
          </wp:positionH>
          <wp:positionV relativeFrom="paragraph">
            <wp:posOffset>8255</wp:posOffset>
          </wp:positionV>
          <wp:extent cx="753110" cy="772160"/>
          <wp:effectExtent l="0" t="0" r="8890" b="8890"/>
          <wp:wrapSquare wrapText="bothSides"/>
          <wp:docPr id="822084989" name="Obrázok 1" descr="Obrázok, na ktorom je logo, symbol,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84989" name="Obrázok 1" descr="Obrázok, na ktorom je logo, symbol, písmo, grafika&#10;&#10;Automaticky generovaný popi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110"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00FD7D63">
      <w:rPr>
        <w:rFonts w:asciiTheme="minorHAnsi" w:hAnsiTheme="minorHAnsi" w:cs="Arial"/>
        <w:sz w:val="32"/>
        <w:szCs w:val="32"/>
      </w:rPr>
      <w:tab/>
    </w:r>
  </w:p>
  <w:p w14:paraId="7FD47E4F" w14:textId="777FC108" w:rsidR="00E7069C" w:rsidRPr="006A6B6A" w:rsidRDefault="00FE2E11" w:rsidP="00020A9B">
    <w:pPr>
      <w:tabs>
        <w:tab w:val="right" w:pos="9072"/>
      </w:tabs>
      <w:rPr>
        <w:rFonts w:asciiTheme="minorHAnsi" w:hAnsiTheme="minorHAnsi" w:cs="Arial"/>
        <w:sz w:val="32"/>
        <w:szCs w:val="32"/>
      </w:rPr>
    </w:pPr>
    <w:r>
      <w:rPr>
        <w:rFonts w:asciiTheme="minorHAnsi" w:hAnsiTheme="minorHAnsi" w:cs="Arial"/>
        <w:sz w:val="32"/>
        <w:szCs w:val="32"/>
      </w:rPr>
      <w:tab/>
    </w:r>
    <w:r w:rsidR="00E7069C" w:rsidRPr="00FE2E11">
      <w:rPr>
        <w:rFonts w:asciiTheme="minorHAnsi" w:hAnsiTheme="minorHAnsi" w:cs="Arial"/>
        <w:sz w:val="36"/>
        <w:szCs w:val="36"/>
      </w:rPr>
      <w:t>Gymnázium Jána</w:t>
    </w:r>
    <w:r w:rsidR="00FD7D63" w:rsidRPr="00FE2E11">
      <w:rPr>
        <w:rFonts w:asciiTheme="minorHAnsi" w:hAnsiTheme="minorHAnsi" w:cs="Arial"/>
        <w:sz w:val="36"/>
        <w:szCs w:val="36"/>
      </w:rPr>
      <w:t xml:space="preserve"> </w:t>
    </w:r>
    <w:r w:rsidR="00E7069C" w:rsidRPr="00FE2E11">
      <w:rPr>
        <w:rFonts w:asciiTheme="minorHAnsi" w:hAnsiTheme="minorHAnsi" w:cs="Arial"/>
        <w:sz w:val="36"/>
        <w:szCs w:val="36"/>
      </w:rPr>
      <w:t xml:space="preserve">Papánka </w:t>
    </w:r>
  </w:p>
  <w:p w14:paraId="15CA2E66" w14:textId="0AAC241D" w:rsidR="00020A9B" w:rsidRPr="00970631" w:rsidRDefault="00FE2E11" w:rsidP="00020A9B">
    <w:pPr>
      <w:tabs>
        <w:tab w:val="right" w:pos="9072"/>
      </w:tabs>
      <w:rPr>
        <w:rFonts w:asciiTheme="minorHAnsi" w:hAnsiTheme="minorHAnsi" w:cs="Arial"/>
      </w:rPr>
    </w:pPr>
    <w:r>
      <w:rPr>
        <w:rFonts w:asciiTheme="minorHAnsi" w:hAnsiTheme="minorHAnsi" w:cs="Arial"/>
      </w:rPr>
      <w:tab/>
    </w:r>
    <w:r w:rsidR="00E7069C" w:rsidRPr="00970631">
      <w:rPr>
        <w:rFonts w:asciiTheme="minorHAnsi" w:hAnsiTheme="minorHAnsi" w:cs="Arial"/>
      </w:rPr>
      <w:t xml:space="preserve">Vazovova 6, </w:t>
    </w:r>
    <w:r w:rsidR="00575C8E" w:rsidRPr="00970631">
      <w:rPr>
        <w:rFonts w:asciiTheme="minorHAnsi" w:hAnsiTheme="minorHAnsi" w:cs="Arial"/>
      </w:rPr>
      <w:t xml:space="preserve">Bratislava </w:t>
    </w:r>
    <w:r w:rsidR="00E7069C" w:rsidRPr="00970631">
      <w:rPr>
        <w:rFonts w:asciiTheme="minorHAnsi" w:hAnsiTheme="minorHAnsi" w:cs="Arial"/>
      </w:rPr>
      <w:t xml:space="preserve">81107 </w:t>
    </w:r>
    <w:r w:rsidR="002E0A48" w:rsidRPr="00970631">
      <w:rPr>
        <w:rFonts w:asciiTheme="minorHAnsi" w:hAnsiTheme="minorHAnsi" w:cs="Arial"/>
      </w:rPr>
      <w:t>vedenie@vazka.sk</w:t>
    </w:r>
    <w:r w:rsidR="00734DDA" w:rsidRPr="00970631">
      <w:rPr>
        <w:rFonts w:asciiTheme="minorHAnsi" w:hAnsiTheme="minorHAnsi" w:cs="Arial"/>
      </w:rPr>
      <w:t>, www.vazka.sk</w:t>
    </w:r>
  </w:p>
  <w:p w14:paraId="7EE251EC" w14:textId="7B8A6CCC" w:rsidR="00020A9B" w:rsidRPr="00DA3FE2" w:rsidRDefault="00DA3FE2" w:rsidP="00E7069C">
    <w:pPr>
      <w:pStyle w:val="Hlavika"/>
      <w:tabs>
        <w:tab w:val="clear" w:pos="4536"/>
        <w:tab w:val="clear" w:pos="9072"/>
        <w:tab w:val="right" w:pos="7230"/>
      </w:tabs>
      <w:rPr>
        <w:sz w:val="28"/>
        <w:szCs w:val="28"/>
      </w:rPr>
    </w:pPr>
    <w:r w:rsidRPr="00DA3FE2">
      <w:rPr>
        <w:rFonts w:ascii="Arial" w:hAnsi="Arial" w:cs="Arial"/>
        <w:sz w:val="28"/>
        <w:szCs w:val="28"/>
        <w14:shadow w14:blurRad="50800" w14:dist="38100" w14:dir="2700000" w14:sx="100000" w14:sy="100000" w14:kx="0" w14:ky="0" w14:algn="tl">
          <w14:srgbClr w14:val="000000">
            <w14:alpha w14:val="60000"/>
          </w14:srgbClr>
        </w14:shadow>
      </w:rPr>
      <w:tab/>
    </w:r>
    <w:r w:rsidR="00020A9B" w:rsidRPr="00DA3FE2">
      <w:rPr>
        <w:rFonts w:ascii="Arial" w:hAnsi="Arial" w:cs="Arial"/>
        <w:sz w:val="22"/>
        <w:szCs w:val="22"/>
        <w14:shadow w14:blurRad="50800" w14:dist="38100" w14:dir="2700000" w14:sx="100000" w14:sy="100000" w14:kx="0" w14:ky="0" w14:algn="tl">
          <w14:srgbClr w14:val="000000">
            <w14:alpha w14:val="60000"/>
          </w14:srgbClr>
        </w14:shadow>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01D6" w14:textId="77777777" w:rsidR="00DD3E66" w:rsidRDefault="00DD3E6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27686"/>
    <w:multiLevelType w:val="hybridMultilevel"/>
    <w:tmpl w:val="671619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6F93BAE"/>
    <w:multiLevelType w:val="hybridMultilevel"/>
    <w:tmpl w:val="A36281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54B02A9"/>
    <w:multiLevelType w:val="hybridMultilevel"/>
    <w:tmpl w:val="8334C1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45207439">
    <w:abstractNumId w:val="0"/>
  </w:num>
  <w:num w:numId="2" w16cid:durableId="1924215860">
    <w:abstractNumId w:val="2"/>
  </w:num>
  <w:num w:numId="3" w16cid:durableId="1434745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11"/>
    <w:rsid w:val="00020A9B"/>
    <w:rsid w:val="00045DFC"/>
    <w:rsid w:val="00054118"/>
    <w:rsid w:val="000714AF"/>
    <w:rsid w:val="000A0802"/>
    <w:rsid w:val="000A3AC5"/>
    <w:rsid w:val="000B1C6C"/>
    <w:rsid w:val="000B6A33"/>
    <w:rsid w:val="000D144B"/>
    <w:rsid w:val="000E7B45"/>
    <w:rsid w:val="00115ED0"/>
    <w:rsid w:val="001309DB"/>
    <w:rsid w:val="00130E84"/>
    <w:rsid w:val="00146508"/>
    <w:rsid w:val="001606E6"/>
    <w:rsid w:val="0016103D"/>
    <w:rsid w:val="00161DA2"/>
    <w:rsid w:val="001640BD"/>
    <w:rsid w:val="001802F0"/>
    <w:rsid w:val="0019494F"/>
    <w:rsid w:val="001A3728"/>
    <w:rsid w:val="001B4DCD"/>
    <w:rsid w:val="001B77F0"/>
    <w:rsid w:val="001C079B"/>
    <w:rsid w:val="001C36E5"/>
    <w:rsid w:val="001C70BA"/>
    <w:rsid w:val="001F1E01"/>
    <w:rsid w:val="00242C22"/>
    <w:rsid w:val="00243864"/>
    <w:rsid w:val="00262AF9"/>
    <w:rsid w:val="00264EC4"/>
    <w:rsid w:val="0027018B"/>
    <w:rsid w:val="00270E9D"/>
    <w:rsid w:val="00285319"/>
    <w:rsid w:val="00296C64"/>
    <w:rsid w:val="002B420E"/>
    <w:rsid w:val="002C0858"/>
    <w:rsid w:val="002D51B4"/>
    <w:rsid w:val="002D73AF"/>
    <w:rsid w:val="002E0A48"/>
    <w:rsid w:val="002E0BF1"/>
    <w:rsid w:val="002F7062"/>
    <w:rsid w:val="002F709D"/>
    <w:rsid w:val="003010E2"/>
    <w:rsid w:val="00306648"/>
    <w:rsid w:val="003119AB"/>
    <w:rsid w:val="00323F7A"/>
    <w:rsid w:val="00324539"/>
    <w:rsid w:val="00325345"/>
    <w:rsid w:val="00325A56"/>
    <w:rsid w:val="00346830"/>
    <w:rsid w:val="003515C8"/>
    <w:rsid w:val="00355414"/>
    <w:rsid w:val="00357DC9"/>
    <w:rsid w:val="00366F19"/>
    <w:rsid w:val="00371C20"/>
    <w:rsid w:val="0037367F"/>
    <w:rsid w:val="00377401"/>
    <w:rsid w:val="00394D99"/>
    <w:rsid w:val="00395BB0"/>
    <w:rsid w:val="003B328C"/>
    <w:rsid w:val="003B4450"/>
    <w:rsid w:val="003B49BA"/>
    <w:rsid w:val="003B57F7"/>
    <w:rsid w:val="003B6933"/>
    <w:rsid w:val="003C0327"/>
    <w:rsid w:val="003C5CE9"/>
    <w:rsid w:val="003F64B1"/>
    <w:rsid w:val="003F7AFE"/>
    <w:rsid w:val="00411FEF"/>
    <w:rsid w:val="00444FE2"/>
    <w:rsid w:val="004556D7"/>
    <w:rsid w:val="00476936"/>
    <w:rsid w:val="0048497B"/>
    <w:rsid w:val="0048689D"/>
    <w:rsid w:val="00486E59"/>
    <w:rsid w:val="00492644"/>
    <w:rsid w:val="0049351F"/>
    <w:rsid w:val="00497896"/>
    <w:rsid w:val="004A22FD"/>
    <w:rsid w:val="004A5763"/>
    <w:rsid w:val="004B431D"/>
    <w:rsid w:val="004B5B8C"/>
    <w:rsid w:val="004C0B75"/>
    <w:rsid w:val="004C447C"/>
    <w:rsid w:val="004C7335"/>
    <w:rsid w:val="004D1BBD"/>
    <w:rsid w:val="004D23F9"/>
    <w:rsid w:val="004D3433"/>
    <w:rsid w:val="004D56C2"/>
    <w:rsid w:val="004E6F89"/>
    <w:rsid w:val="004F5C75"/>
    <w:rsid w:val="004F7ECB"/>
    <w:rsid w:val="005251D3"/>
    <w:rsid w:val="00540C67"/>
    <w:rsid w:val="005506E7"/>
    <w:rsid w:val="00550765"/>
    <w:rsid w:val="00551164"/>
    <w:rsid w:val="0056276F"/>
    <w:rsid w:val="00563828"/>
    <w:rsid w:val="00575C8E"/>
    <w:rsid w:val="0058021D"/>
    <w:rsid w:val="00582436"/>
    <w:rsid w:val="00592419"/>
    <w:rsid w:val="005A1CDC"/>
    <w:rsid w:val="005C1E0D"/>
    <w:rsid w:val="005C4CA6"/>
    <w:rsid w:val="005C6830"/>
    <w:rsid w:val="005C6E99"/>
    <w:rsid w:val="005D4A7A"/>
    <w:rsid w:val="005E468F"/>
    <w:rsid w:val="005F2E6F"/>
    <w:rsid w:val="0060779A"/>
    <w:rsid w:val="0063065B"/>
    <w:rsid w:val="00632668"/>
    <w:rsid w:val="00647149"/>
    <w:rsid w:val="00656A2A"/>
    <w:rsid w:val="006610C7"/>
    <w:rsid w:val="0067389E"/>
    <w:rsid w:val="00681254"/>
    <w:rsid w:val="00687D2B"/>
    <w:rsid w:val="006A6B6A"/>
    <w:rsid w:val="006B7E0A"/>
    <w:rsid w:val="006C1C10"/>
    <w:rsid w:val="006D552F"/>
    <w:rsid w:val="006E39C0"/>
    <w:rsid w:val="006F4388"/>
    <w:rsid w:val="006F4559"/>
    <w:rsid w:val="006F6D1B"/>
    <w:rsid w:val="007035AD"/>
    <w:rsid w:val="007143BB"/>
    <w:rsid w:val="00731348"/>
    <w:rsid w:val="0073290F"/>
    <w:rsid w:val="00734DDA"/>
    <w:rsid w:val="00737870"/>
    <w:rsid w:val="007450D0"/>
    <w:rsid w:val="0074578A"/>
    <w:rsid w:val="00747313"/>
    <w:rsid w:val="007610AC"/>
    <w:rsid w:val="00770186"/>
    <w:rsid w:val="00770A7D"/>
    <w:rsid w:val="007732E2"/>
    <w:rsid w:val="007821E5"/>
    <w:rsid w:val="007D0BE2"/>
    <w:rsid w:val="007D350E"/>
    <w:rsid w:val="007D3685"/>
    <w:rsid w:val="007F67A1"/>
    <w:rsid w:val="007F6E49"/>
    <w:rsid w:val="00821340"/>
    <w:rsid w:val="00826065"/>
    <w:rsid w:val="0084524E"/>
    <w:rsid w:val="00845915"/>
    <w:rsid w:val="0085351D"/>
    <w:rsid w:val="00864447"/>
    <w:rsid w:val="008801D5"/>
    <w:rsid w:val="00887CC9"/>
    <w:rsid w:val="00894C29"/>
    <w:rsid w:val="008C0D03"/>
    <w:rsid w:val="008C0D3A"/>
    <w:rsid w:val="008C3CFD"/>
    <w:rsid w:val="008C7B4E"/>
    <w:rsid w:val="008D21CB"/>
    <w:rsid w:val="008F0F75"/>
    <w:rsid w:val="00902AE8"/>
    <w:rsid w:val="00912D30"/>
    <w:rsid w:val="00922832"/>
    <w:rsid w:val="009460D5"/>
    <w:rsid w:val="00946349"/>
    <w:rsid w:val="00953DBA"/>
    <w:rsid w:val="00961958"/>
    <w:rsid w:val="00966B36"/>
    <w:rsid w:val="00970631"/>
    <w:rsid w:val="009744A8"/>
    <w:rsid w:val="00982C9F"/>
    <w:rsid w:val="00985BEF"/>
    <w:rsid w:val="00986C92"/>
    <w:rsid w:val="00994B83"/>
    <w:rsid w:val="009B3A33"/>
    <w:rsid w:val="009B7984"/>
    <w:rsid w:val="009C3CE5"/>
    <w:rsid w:val="009D232A"/>
    <w:rsid w:val="009E4804"/>
    <w:rsid w:val="009E69FA"/>
    <w:rsid w:val="009F7108"/>
    <w:rsid w:val="00A12A86"/>
    <w:rsid w:val="00A13AFB"/>
    <w:rsid w:val="00A4149B"/>
    <w:rsid w:val="00A42304"/>
    <w:rsid w:val="00A44F26"/>
    <w:rsid w:val="00A4670C"/>
    <w:rsid w:val="00A569FF"/>
    <w:rsid w:val="00A57308"/>
    <w:rsid w:val="00A6038F"/>
    <w:rsid w:val="00A64F9E"/>
    <w:rsid w:val="00AA5D9F"/>
    <w:rsid w:val="00AC2C14"/>
    <w:rsid w:val="00AC3BBA"/>
    <w:rsid w:val="00AD0106"/>
    <w:rsid w:val="00AE1CCF"/>
    <w:rsid w:val="00AE5213"/>
    <w:rsid w:val="00AF2C19"/>
    <w:rsid w:val="00AF7A20"/>
    <w:rsid w:val="00B004AF"/>
    <w:rsid w:val="00B01A8E"/>
    <w:rsid w:val="00B03EA9"/>
    <w:rsid w:val="00B11202"/>
    <w:rsid w:val="00B44ED1"/>
    <w:rsid w:val="00B4598E"/>
    <w:rsid w:val="00B532EB"/>
    <w:rsid w:val="00B803F8"/>
    <w:rsid w:val="00BA4318"/>
    <w:rsid w:val="00BB6BBE"/>
    <w:rsid w:val="00BC354B"/>
    <w:rsid w:val="00BC5AAC"/>
    <w:rsid w:val="00BC7425"/>
    <w:rsid w:val="00BF30A0"/>
    <w:rsid w:val="00BF4225"/>
    <w:rsid w:val="00C2622B"/>
    <w:rsid w:val="00C3591D"/>
    <w:rsid w:val="00C37233"/>
    <w:rsid w:val="00C4232C"/>
    <w:rsid w:val="00C42457"/>
    <w:rsid w:val="00C77B7C"/>
    <w:rsid w:val="00C8221E"/>
    <w:rsid w:val="00CA18F5"/>
    <w:rsid w:val="00CB162B"/>
    <w:rsid w:val="00CD2616"/>
    <w:rsid w:val="00CD3285"/>
    <w:rsid w:val="00CE270C"/>
    <w:rsid w:val="00CE5442"/>
    <w:rsid w:val="00CF6FB6"/>
    <w:rsid w:val="00D00257"/>
    <w:rsid w:val="00D03CC6"/>
    <w:rsid w:val="00D115FF"/>
    <w:rsid w:val="00D264FF"/>
    <w:rsid w:val="00D30F62"/>
    <w:rsid w:val="00D31C0B"/>
    <w:rsid w:val="00D336BF"/>
    <w:rsid w:val="00D348EC"/>
    <w:rsid w:val="00D47155"/>
    <w:rsid w:val="00D52686"/>
    <w:rsid w:val="00D63749"/>
    <w:rsid w:val="00D64311"/>
    <w:rsid w:val="00D6492D"/>
    <w:rsid w:val="00D761CE"/>
    <w:rsid w:val="00D77FF3"/>
    <w:rsid w:val="00D85D9B"/>
    <w:rsid w:val="00DA3FE2"/>
    <w:rsid w:val="00DC5A18"/>
    <w:rsid w:val="00DD36F4"/>
    <w:rsid w:val="00DD3E66"/>
    <w:rsid w:val="00DD5746"/>
    <w:rsid w:val="00E04B77"/>
    <w:rsid w:val="00E1133F"/>
    <w:rsid w:val="00E27448"/>
    <w:rsid w:val="00E316C2"/>
    <w:rsid w:val="00E37F23"/>
    <w:rsid w:val="00E43A62"/>
    <w:rsid w:val="00E57B0E"/>
    <w:rsid w:val="00E7069C"/>
    <w:rsid w:val="00E7146E"/>
    <w:rsid w:val="00EA51D4"/>
    <w:rsid w:val="00EE5D80"/>
    <w:rsid w:val="00EF06CD"/>
    <w:rsid w:val="00EF7462"/>
    <w:rsid w:val="00F058CC"/>
    <w:rsid w:val="00F10D9B"/>
    <w:rsid w:val="00F14EB4"/>
    <w:rsid w:val="00F229A4"/>
    <w:rsid w:val="00F31CE7"/>
    <w:rsid w:val="00F46C5B"/>
    <w:rsid w:val="00F52A93"/>
    <w:rsid w:val="00F66677"/>
    <w:rsid w:val="00F7176D"/>
    <w:rsid w:val="00F76F67"/>
    <w:rsid w:val="00F94371"/>
    <w:rsid w:val="00F9570E"/>
    <w:rsid w:val="00FB004D"/>
    <w:rsid w:val="00FC6D3E"/>
    <w:rsid w:val="00FD5991"/>
    <w:rsid w:val="00FD7D63"/>
    <w:rsid w:val="00FE2E11"/>
    <w:rsid w:val="00FF4903"/>
    <w:rsid w:val="00FF4A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43592"/>
  <w15:chartTrackingRefBased/>
  <w15:docId w15:val="{5C2263A5-80DC-4C2B-A9B8-AD67AF6B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rsid w:val="00D64311"/>
  </w:style>
  <w:style w:type="character" w:styleId="Vrazn">
    <w:name w:val="Strong"/>
    <w:qFormat/>
    <w:rsid w:val="00D64311"/>
    <w:rPr>
      <w:b/>
      <w:bCs/>
    </w:rPr>
  </w:style>
  <w:style w:type="paragraph" w:styleId="Textbubliny">
    <w:name w:val="Balloon Text"/>
    <w:basedOn w:val="Normlny"/>
    <w:semiHidden/>
    <w:rsid w:val="008C7B4E"/>
    <w:rPr>
      <w:rFonts w:ascii="Tahoma" w:hAnsi="Tahoma" w:cs="Tahoma"/>
      <w:sz w:val="16"/>
      <w:szCs w:val="16"/>
    </w:rPr>
  </w:style>
  <w:style w:type="character" w:styleId="Hypertextovprepojenie">
    <w:name w:val="Hyperlink"/>
    <w:basedOn w:val="Predvolenpsmoodseku"/>
    <w:rsid w:val="0019494F"/>
    <w:rPr>
      <w:color w:val="467886" w:themeColor="hyperlink"/>
      <w:u w:val="single"/>
    </w:rPr>
  </w:style>
  <w:style w:type="character" w:styleId="Nevyrieenzmienka">
    <w:name w:val="Unresolved Mention"/>
    <w:basedOn w:val="Predvolenpsmoodseku"/>
    <w:uiPriority w:val="99"/>
    <w:semiHidden/>
    <w:unhideWhenUsed/>
    <w:rsid w:val="0019494F"/>
    <w:rPr>
      <w:color w:val="605E5C"/>
      <w:shd w:val="clear" w:color="auto" w:fill="E1DFDD"/>
    </w:rPr>
  </w:style>
  <w:style w:type="paragraph" w:styleId="Hlavika">
    <w:name w:val="header"/>
    <w:basedOn w:val="Normlny"/>
    <w:link w:val="HlavikaChar"/>
    <w:rsid w:val="00D264FF"/>
    <w:pPr>
      <w:tabs>
        <w:tab w:val="center" w:pos="4536"/>
        <w:tab w:val="right" w:pos="9072"/>
      </w:tabs>
    </w:pPr>
  </w:style>
  <w:style w:type="character" w:customStyle="1" w:styleId="HlavikaChar">
    <w:name w:val="Hlavička Char"/>
    <w:basedOn w:val="Predvolenpsmoodseku"/>
    <w:link w:val="Hlavika"/>
    <w:rsid w:val="00D264FF"/>
    <w:rPr>
      <w:sz w:val="24"/>
      <w:szCs w:val="24"/>
      <w:lang w:val="cs-CZ" w:eastAsia="cs-CZ"/>
    </w:rPr>
  </w:style>
  <w:style w:type="paragraph" w:styleId="Pta">
    <w:name w:val="footer"/>
    <w:basedOn w:val="Normlny"/>
    <w:link w:val="PtaChar"/>
    <w:rsid w:val="00D264FF"/>
    <w:pPr>
      <w:tabs>
        <w:tab w:val="center" w:pos="4536"/>
        <w:tab w:val="right" w:pos="9072"/>
      </w:tabs>
    </w:pPr>
  </w:style>
  <w:style w:type="character" w:customStyle="1" w:styleId="PtaChar">
    <w:name w:val="Päta Char"/>
    <w:basedOn w:val="Predvolenpsmoodseku"/>
    <w:link w:val="Pta"/>
    <w:rsid w:val="00D264FF"/>
    <w:rPr>
      <w:sz w:val="24"/>
      <w:szCs w:val="24"/>
      <w:lang w:val="cs-CZ" w:eastAsia="cs-CZ"/>
    </w:rPr>
  </w:style>
  <w:style w:type="table" w:styleId="Mriekatabuky">
    <w:name w:val="Table Grid"/>
    <w:basedOn w:val="Normlnatabuka"/>
    <w:rsid w:val="006471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C82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748">
      <w:bodyDiv w:val="1"/>
      <w:marLeft w:val="0"/>
      <w:marRight w:val="0"/>
      <w:marTop w:val="0"/>
      <w:marBottom w:val="0"/>
      <w:divBdr>
        <w:top w:val="none" w:sz="0" w:space="0" w:color="auto"/>
        <w:left w:val="none" w:sz="0" w:space="0" w:color="auto"/>
        <w:bottom w:val="none" w:sz="0" w:space="0" w:color="auto"/>
        <w:right w:val="none" w:sz="0" w:space="0" w:color="auto"/>
      </w:divBdr>
    </w:div>
    <w:div w:id="1001008061">
      <w:bodyDiv w:val="1"/>
      <w:marLeft w:val="0"/>
      <w:marRight w:val="0"/>
      <w:marTop w:val="0"/>
      <w:marBottom w:val="0"/>
      <w:divBdr>
        <w:top w:val="none" w:sz="0" w:space="0" w:color="auto"/>
        <w:left w:val="none" w:sz="0" w:space="0" w:color="auto"/>
        <w:bottom w:val="none" w:sz="0" w:space="0" w:color="auto"/>
        <w:right w:val="none" w:sz="0" w:space="0" w:color="auto"/>
      </w:divBdr>
    </w:div>
    <w:div w:id="1444226445">
      <w:bodyDiv w:val="1"/>
      <w:marLeft w:val="0"/>
      <w:marRight w:val="0"/>
      <w:marTop w:val="0"/>
      <w:marBottom w:val="0"/>
      <w:divBdr>
        <w:top w:val="none" w:sz="0" w:space="0" w:color="auto"/>
        <w:left w:val="none" w:sz="0" w:space="0" w:color="auto"/>
        <w:bottom w:val="none" w:sz="0" w:space="0" w:color="auto"/>
        <w:right w:val="none" w:sz="0" w:space="0" w:color="auto"/>
      </w:divBdr>
    </w:div>
    <w:div w:id="2037344277">
      <w:bodyDiv w:val="1"/>
      <w:marLeft w:val="0"/>
      <w:marRight w:val="0"/>
      <w:marTop w:val="0"/>
      <w:marBottom w:val="0"/>
      <w:divBdr>
        <w:top w:val="none" w:sz="0" w:space="0" w:color="auto"/>
        <w:left w:val="none" w:sz="0" w:space="0" w:color="auto"/>
        <w:bottom w:val="none" w:sz="0" w:space="0" w:color="auto"/>
        <w:right w:val="none" w:sz="0" w:space="0" w:color="auto"/>
      </w:divBdr>
    </w:div>
    <w:div w:id="209270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1043</Words>
  <Characters>5949</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Mokrišová</dc:creator>
  <cp:keywords/>
  <dc:description/>
  <cp:lastModifiedBy>Milan Kopecký</cp:lastModifiedBy>
  <cp:revision>3</cp:revision>
  <cp:lastPrinted>2023-09-22T06:30:00Z</cp:lastPrinted>
  <dcterms:created xsi:type="dcterms:W3CDTF">2025-11-23T17:00:00Z</dcterms:created>
  <dcterms:modified xsi:type="dcterms:W3CDTF">2025-11-23T17:03:00Z</dcterms:modified>
</cp:coreProperties>
</file>